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4E1F44" w:rsidRPr="004E1F44" w14:paraId="508CF855" w14:textId="77777777" w:rsidTr="004E1F4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1EFAEB3" w14:textId="77777777" w:rsidR="004E1F44" w:rsidRPr="004E1F44" w:rsidRDefault="004E1F44" w:rsidP="004E1F44">
            <w:pPr>
              <w:jc w:val="both"/>
              <w:rPr>
                <w:rFonts w:ascii="Tahoma" w:hAnsi="Tahoma" w:cs="Tahoma"/>
                <w:sz w:val="20"/>
                <w:szCs w:val="20"/>
              </w:rPr>
            </w:pPr>
            <w:r w:rsidRPr="004E1F44">
              <w:rPr>
                <w:rFonts w:ascii="Tahoma" w:hAnsi="Tahoma" w:cs="Tahoma"/>
                <w:sz w:val="20"/>
                <w:szCs w:val="20"/>
              </w:rPr>
              <w:t>30 Aralık 2024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30DFC1F" w14:textId="77777777" w:rsidR="004E1F44" w:rsidRPr="004E1F44" w:rsidRDefault="004E1F44" w:rsidP="004E1F44">
            <w:pPr>
              <w:jc w:val="both"/>
              <w:rPr>
                <w:rFonts w:ascii="Tahoma" w:hAnsi="Tahoma" w:cs="Tahoma"/>
                <w:sz w:val="20"/>
                <w:szCs w:val="20"/>
              </w:rPr>
            </w:pPr>
            <w:r w:rsidRPr="004E1F44">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A8DE4BD" w14:textId="77777777" w:rsidR="004E1F44" w:rsidRPr="004E1F44" w:rsidRDefault="004E1F44" w:rsidP="004E1F44">
            <w:pPr>
              <w:jc w:val="both"/>
              <w:rPr>
                <w:rFonts w:ascii="Tahoma" w:hAnsi="Tahoma" w:cs="Tahoma"/>
                <w:sz w:val="20"/>
                <w:szCs w:val="20"/>
              </w:rPr>
            </w:pPr>
            <w:proofErr w:type="gramStart"/>
            <w:r w:rsidRPr="004E1F44">
              <w:rPr>
                <w:rFonts w:ascii="Tahoma" w:hAnsi="Tahoma" w:cs="Tahoma"/>
                <w:sz w:val="20"/>
                <w:szCs w:val="20"/>
              </w:rPr>
              <w:t>Sayı :</w:t>
            </w:r>
            <w:proofErr w:type="gramEnd"/>
            <w:r w:rsidRPr="004E1F44">
              <w:rPr>
                <w:rFonts w:ascii="Tahoma" w:hAnsi="Tahoma" w:cs="Tahoma"/>
                <w:sz w:val="20"/>
                <w:szCs w:val="20"/>
              </w:rPr>
              <w:t xml:space="preserve"> 32768 </w:t>
            </w:r>
            <w:r w:rsidRPr="004E1F44">
              <w:rPr>
                <w:rFonts w:ascii="Tahoma" w:hAnsi="Tahoma" w:cs="Tahoma"/>
                <w:b/>
                <w:bCs/>
                <w:sz w:val="20"/>
                <w:szCs w:val="20"/>
              </w:rPr>
              <w:t>(2. Mükerrer)</w:t>
            </w:r>
          </w:p>
        </w:tc>
      </w:tr>
      <w:tr w:rsidR="004E1F44" w:rsidRPr="004E1F44" w14:paraId="196D5B4B" w14:textId="77777777" w:rsidTr="004E1F44">
        <w:trPr>
          <w:trHeight w:val="480"/>
        </w:trPr>
        <w:tc>
          <w:tcPr>
            <w:tcW w:w="8789" w:type="dxa"/>
            <w:gridSpan w:val="3"/>
            <w:tcMar>
              <w:top w:w="0" w:type="dxa"/>
              <w:left w:w="108" w:type="dxa"/>
              <w:bottom w:w="0" w:type="dxa"/>
              <w:right w:w="108" w:type="dxa"/>
            </w:tcMar>
            <w:vAlign w:val="center"/>
            <w:hideMark/>
          </w:tcPr>
          <w:p w14:paraId="4B1FAE45" w14:textId="77777777" w:rsidR="004E1F44" w:rsidRPr="004E1F44" w:rsidRDefault="004E1F44" w:rsidP="004E1F44">
            <w:pPr>
              <w:jc w:val="center"/>
              <w:rPr>
                <w:rFonts w:ascii="Tahoma" w:hAnsi="Tahoma" w:cs="Tahoma"/>
                <w:sz w:val="20"/>
                <w:szCs w:val="20"/>
              </w:rPr>
            </w:pPr>
            <w:r w:rsidRPr="004E1F44">
              <w:rPr>
                <w:rFonts w:ascii="Tahoma" w:hAnsi="Tahoma" w:cs="Tahoma"/>
                <w:b/>
                <w:bCs/>
                <w:sz w:val="20"/>
                <w:szCs w:val="20"/>
              </w:rPr>
              <w:t>TEBLİĞ</w:t>
            </w:r>
          </w:p>
        </w:tc>
      </w:tr>
      <w:tr w:rsidR="004E1F44" w:rsidRPr="004E1F44" w14:paraId="439681B2" w14:textId="77777777" w:rsidTr="004E1F44">
        <w:trPr>
          <w:trHeight w:val="480"/>
        </w:trPr>
        <w:tc>
          <w:tcPr>
            <w:tcW w:w="8789" w:type="dxa"/>
            <w:gridSpan w:val="3"/>
            <w:tcMar>
              <w:top w:w="0" w:type="dxa"/>
              <w:left w:w="108" w:type="dxa"/>
              <w:bottom w:w="0" w:type="dxa"/>
              <w:right w:w="108" w:type="dxa"/>
            </w:tcMar>
            <w:vAlign w:val="center"/>
            <w:hideMark/>
          </w:tcPr>
          <w:p w14:paraId="13541800" w14:textId="77777777" w:rsidR="004E1F44" w:rsidRPr="004E1F44" w:rsidRDefault="004E1F44" w:rsidP="004E1F44">
            <w:pPr>
              <w:jc w:val="both"/>
              <w:rPr>
                <w:rFonts w:ascii="Tahoma" w:hAnsi="Tahoma" w:cs="Tahoma"/>
                <w:sz w:val="20"/>
                <w:szCs w:val="20"/>
                <w:u w:val="single"/>
              </w:rPr>
            </w:pPr>
            <w:r w:rsidRPr="004E1F44">
              <w:rPr>
                <w:rFonts w:ascii="Tahoma" w:hAnsi="Tahoma" w:cs="Tahoma"/>
                <w:sz w:val="20"/>
                <w:szCs w:val="20"/>
                <w:u w:val="single"/>
              </w:rPr>
              <w:t>Hazine ve Maliye Bakanlığı (Gelir İdaresi Başkanlığı)’</w:t>
            </w:r>
            <w:proofErr w:type="spellStart"/>
            <w:r w:rsidRPr="004E1F44">
              <w:rPr>
                <w:rFonts w:ascii="Tahoma" w:hAnsi="Tahoma" w:cs="Tahoma"/>
                <w:sz w:val="20"/>
                <w:szCs w:val="20"/>
                <w:u w:val="single"/>
              </w:rPr>
              <w:t>ndan</w:t>
            </w:r>
            <w:proofErr w:type="spellEnd"/>
            <w:r w:rsidRPr="004E1F44">
              <w:rPr>
                <w:rFonts w:ascii="Tahoma" w:hAnsi="Tahoma" w:cs="Tahoma"/>
                <w:sz w:val="20"/>
                <w:szCs w:val="20"/>
                <w:u w:val="single"/>
              </w:rPr>
              <w:t>:</w:t>
            </w:r>
          </w:p>
          <w:p w14:paraId="1C2983FB" w14:textId="77777777" w:rsidR="004E1F44" w:rsidRPr="004E1F44" w:rsidRDefault="004E1F44" w:rsidP="004E1F44">
            <w:pPr>
              <w:jc w:val="center"/>
              <w:rPr>
                <w:rFonts w:ascii="Tahoma" w:hAnsi="Tahoma" w:cs="Tahoma"/>
                <w:b/>
                <w:bCs/>
                <w:sz w:val="20"/>
                <w:szCs w:val="20"/>
              </w:rPr>
            </w:pPr>
            <w:r w:rsidRPr="004E1F44">
              <w:rPr>
                <w:rFonts w:ascii="Tahoma" w:hAnsi="Tahoma" w:cs="Tahoma"/>
                <w:b/>
                <w:bCs/>
                <w:sz w:val="20"/>
                <w:szCs w:val="20"/>
              </w:rPr>
              <w:t>DAMGA VERGİSİ KANUNU GENEL TEBLİĞİ</w:t>
            </w:r>
          </w:p>
          <w:p w14:paraId="7FB8EEB3" w14:textId="77777777" w:rsidR="004E1F44" w:rsidRPr="004E1F44" w:rsidRDefault="004E1F44" w:rsidP="004E1F44">
            <w:pPr>
              <w:jc w:val="center"/>
              <w:rPr>
                <w:rFonts w:ascii="Tahoma" w:hAnsi="Tahoma" w:cs="Tahoma"/>
                <w:b/>
                <w:bCs/>
                <w:sz w:val="20"/>
                <w:szCs w:val="20"/>
              </w:rPr>
            </w:pPr>
            <w:r w:rsidRPr="004E1F44">
              <w:rPr>
                <w:rFonts w:ascii="Tahoma" w:hAnsi="Tahoma" w:cs="Tahoma"/>
                <w:b/>
                <w:bCs/>
                <w:sz w:val="20"/>
                <w:szCs w:val="20"/>
              </w:rPr>
              <w:t>(SERİ NO: 70)</w:t>
            </w:r>
          </w:p>
          <w:p w14:paraId="74AA43E8" w14:textId="77777777" w:rsidR="004E1F44" w:rsidRPr="004E1F44" w:rsidRDefault="004E1F44" w:rsidP="004E1F44">
            <w:pPr>
              <w:rPr>
                <w:rFonts w:ascii="Tahoma" w:hAnsi="Tahoma" w:cs="Tahoma"/>
                <w:sz w:val="20"/>
                <w:szCs w:val="20"/>
              </w:rPr>
            </w:pPr>
            <w:r w:rsidRPr="004E1F44">
              <w:rPr>
                <w:rFonts w:ascii="Tahoma" w:hAnsi="Tahoma" w:cs="Tahoma"/>
                <w:b/>
                <w:bCs/>
                <w:sz w:val="20"/>
                <w:szCs w:val="20"/>
              </w:rPr>
              <w:t>Amaç ve kapsam</w:t>
            </w:r>
          </w:p>
          <w:p w14:paraId="42FC174A" w14:textId="77777777" w:rsidR="004E1F44" w:rsidRPr="004E1F44" w:rsidRDefault="004E1F44" w:rsidP="004E1F44">
            <w:pPr>
              <w:jc w:val="both"/>
              <w:rPr>
                <w:rFonts w:ascii="Tahoma" w:hAnsi="Tahoma" w:cs="Tahoma"/>
                <w:sz w:val="20"/>
                <w:szCs w:val="20"/>
              </w:rPr>
            </w:pPr>
            <w:r w:rsidRPr="004E1F44">
              <w:rPr>
                <w:rFonts w:ascii="Tahoma" w:hAnsi="Tahoma" w:cs="Tahoma"/>
                <w:b/>
                <w:bCs/>
                <w:sz w:val="20"/>
                <w:szCs w:val="20"/>
              </w:rPr>
              <w:t>MADDE 1- </w:t>
            </w:r>
            <w:r w:rsidRPr="004E1F44">
              <w:rPr>
                <w:rFonts w:ascii="Tahoma" w:hAnsi="Tahoma" w:cs="Tahoma"/>
                <w:sz w:val="20"/>
                <w:szCs w:val="20"/>
              </w:rPr>
              <w:t xml:space="preserve">(1) Bu Tebliğin amacı, 1/7/1964 tarihli ve 488 sayılı Damga Vergisi Kanununun </w:t>
            </w:r>
            <w:proofErr w:type="gramStart"/>
            <w:r w:rsidRPr="004E1F44">
              <w:rPr>
                <w:rFonts w:ascii="Tahoma" w:hAnsi="Tahoma" w:cs="Tahoma"/>
                <w:sz w:val="20"/>
                <w:szCs w:val="20"/>
              </w:rPr>
              <w:t>14 üncü</w:t>
            </w:r>
            <w:proofErr w:type="gramEnd"/>
            <w:r w:rsidRPr="004E1F44">
              <w:rPr>
                <w:rFonts w:ascii="Tahoma" w:hAnsi="Tahoma" w:cs="Tahoma"/>
                <w:sz w:val="20"/>
                <w:szCs w:val="20"/>
              </w:rPr>
              <w:t xml:space="preserve"> maddesinde yer alan azami tutarın ve Damga Vergisi Kanununa ekli (1) sayılı tabloda yer alan maktu vergilerin yeniden değerleme oranına göre belirlenerek tespit ve ilan edilmesidir.</w:t>
            </w:r>
          </w:p>
          <w:p w14:paraId="5C163D09" w14:textId="77777777" w:rsidR="004E1F44" w:rsidRPr="004E1F44" w:rsidRDefault="004E1F44" w:rsidP="004E1F44">
            <w:pPr>
              <w:jc w:val="both"/>
              <w:rPr>
                <w:rFonts w:ascii="Tahoma" w:hAnsi="Tahoma" w:cs="Tahoma"/>
                <w:sz w:val="20"/>
                <w:szCs w:val="20"/>
              </w:rPr>
            </w:pPr>
            <w:r w:rsidRPr="004E1F44">
              <w:rPr>
                <w:rFonts w:ascii="Tahoma" w:hAnsi="Tahoma" w:cs="Tahoma"/>
                <w:b/>
                <w:bCs/>
                <w:sz w:val="20"/>
                <w:szCs w:val="20"/>
              </w:rPr>
              <w:t>Dayanak</w:t>
            </w:r>
          </w:p>
          <w:p w14:paraId="5C30633A" w14:textId="77777777" w:rsidR="004E1F44" w:rsidRPr="004E1F44" w:rsidRDefault="004E1F44" w:rsidP="004E1F44">
            <w:pPr>
              <w:jc w:val="both"/>
              <w:rPr>
                <w:rFonts w:ascii="Tahoma" w:hAnsi="Tahoma" w:cs="Tahoma"/>
                <w:sz w:val="20"/>
                <w:szCs w:val="20"/>
              </w:rPr>
            </w:pPr>
            <w:r w:rsidRPr="004E1F44">
              <w:rPr>
                <w:rFonts w:ascii="Tahoma" w:hAnsi="Tahoma" w:cs="Tahoma"/>
                <w:b/>
                <w:bCs/>
                <w:sz w:val="20"/>
                <w:szCs w:val="20"/>
              </w:rPr>
              <w:t>MADDE 2- </w:t>
            </w:r>
            <w:r w:rsidRPr="004E1F44">
              <w:rPr>
                <w:rFonts w:ascii="Tahoma" w:hAnsi="Tahoma" w:cs="Tahoma"/>
                <w:sz w:val="20"/>
                <w:szCs w:val="20"/>
              </w:rPr>
              <w:t xml:space="preserve">(1) Bu Tebliğ, 488 sayılı Kanunun </w:t>
            </w:r>
            <w:proofErr w:type="gramStart"/>
            <w:r w:rsidRPr="004E1F44">
              <w:rPr>
                <w:rFonts w:ascii="Tahoma" w:hAnsi="Tahoma" w:cs="Tahoma"/>
                <w:sz w:val="20"/>
                <w:szCs w:val="20"/>
              </w:rPr>
              <w:t>14 üncü</w:t>
            </w:r>
            <w:proofErr w:type="gramEnd"/>
            <w:r w:rsidRPr="004E1F44">
              <w:rPr>
                <w:rFonts w:ascii="Tahoma" w:hAnsi="Tahoma" w:cs="Tahoma"/>
                <w:sz w:val="20"/>
                <w:szCs w:val="20"/>
              </w:rPr>
              <w:t xml:space="preserve"> maddesinin birinci fıkrası ve mükerrer 30 uncu maddesinin birinci fıkrası hükümlerine dayanılarak hazırlanmıştır.</w:t>
            </w:r>
          </w:p>
          <w:p w14:paraId="475B838F" w14:textId="77777777" w:rsidR="004E1F44" w:rsidRPr="004E1F44" w:rsidRDefault="004E1F44" w:rsidP="004E1F44">
            <w:pPr>
              <w:jc w:val="both"/>
              <w:rPr>
                <w:rFonts w:ascii="Tahoma" w:hAnsi="Tahoma" w:cs="Tahoma"/>
                <w:sz w:val="20"/>
                <w:szCs w:val="20"/>
              </w:rPr>
            </w:pPr>
            <w:r w:rsidRPr="004E1F44">
              <w:rPr>
                <w:rFonts w:ascii="Tahoma" w:hAnsi="Tahoma" w:cs="Tahoma"/>
                <w:b/>
                <w:bCs/>
                <w:sz w:val="20"/>
                <w:szCs w:val="20"/>
              </w:rPr>
              <w:t>Maktu damga vergisi tutarları ile azami tutarın belirlenmesi</w:t>
            </w:r>
          </w:p>
          <w:p w14:paraId="1CD2D679" w14:textId="77777777" w:rsidR="004E1F44" w:rsidRPr="004E1F44" w:rsidRDefault="004E1F44" w:rsidP="004E1F44">
            <w:pPr>
              <w:jc w:val="both"/>
              <w:rPr>
                <w:rFonts w:ascii="Tahoma" w:hAnsi="Tahoma" w:cs="Tahoma"/>
                <w:sz w:val="20"/>
                <w:szCs w:val="20"/>
              </w:rPr>
            </w:pPr>
            <w:r w:rsidRPr="004E1F44">
              <w:rPr>
                <w:rFonts w:ascii="Tahoma" w:hAnsi="Tahoma" w:cs="Tahoma"/>
                <w:b/>
                <w:bCs/>
                <w:sz w:val="20"/>
                <w:szCs w:val="20"/>
              </w:rPr>
              <w:t>MADDE 3- </w:t>
            </w:r>
            <w:r w:rsidRPr="004E1F44">
              <w:rPr>
                <w:rFonts w:ascii="Tahoma" w:hAnsi="Tahoma" w:cs="Tahoma"/>
                <w:sz w:val="20"/>
                <w:szCs w:val="20"/>
              </w:rPr>
              <w:t>(1) 27/11/2024 tarihli ve 32735 sayılı Resmî Gazete’de yayımlanan Vergi Usul Kanunu Genel Tebliği (Sıra No: 574) ile 2024 yılı için yeniden değerleme oranı %43,93 (kırk üç virgül doksan üç) olarak tespit ve ilan edilmiştir.</w:t>
            </w:r>
          </w:p>
          <w:p w14:paraId="5F7AAB69" w14:textId="77777777" w:rsidR="004E1F44" w:rsidRPr="004E1F44" w:rsidRDefault="004E1F44" w:rsidP="004E1F44">
            <w:pPr>
              <w:jc w:val="both"/>
              <w:rPr>
                <w:rFonts w:ascii="Tahoma" w:hAnsi="Tahoma" w:cs="Tahoma"/>
                <w:sz w:val="20"/>
                <w:szCs w:val="20"/>
              </w:rPr>
            </w:pPr>
            <w:r w:rsidRPr="004E1F44">
              <w:rPr>
                <w:rFonts w:ascii="Tahoma" w:hAnsi="Tahoma" w:cs="Tahoma"/>
                <w:sz w:val="20"/>
                <w:szCs w:val="20"/>
              </w:rPr>
              <w:t>(2) 488 sayılı Kanunun mükerrer 30 uncu maddesinin birinci fıkrası hükmü gereğince, Kanuna ekli (1) sayılı tabloda yer alan ve 68 Seri No’lu Damga Vergisi Kanunu Genel Tebliği ile tespit edilen maktu vergiler (maktu ve nispi vergilerin asgari ve azami miktarlarını belirleyen hadler dahil), yeniden değerleme oranında artırılmış ve 1/1/2025 tarihinden itibaren uygulanacak miktarlar Tebliğ ekindeki (1) sayılı tabloda gösterilmiştir.</w:t>
            </w:r>
          </w:p>
          <w:p w14:paraId="000EB19E" w14:textId="77777777" w:rsidR="004E1F44" w:rsidRPr="004E1F44" w:rsidRDefault="004E1F44" w:rsidP="004E1F44">
            <w:pPr>
              <w:jc w:val="both"/>
              <w:rPr>
                <w:rFonts w:ascii="Tahoma" w:hAnsi="Tahoma" w:cs="Tahoma"/>
                <w:sz w:val="20"/>
                <w:szCs w:val="20"/>
              </w:rPr>
            </w:pPr>
            <w:r w:rsidRPr="004E1F44">
              <w:rPr>
                <w:rFonts w:ascii="Tahoma" w:hAnsi="Tahoma" w:cs="Tahoma"/>
                <w:sz w:val="20"/>
                <w:szCs w:val="20"/>
              </w:rPr>
              <w:t xml:space="preserve">(3) 488 sayılı Kanunun </w:t>
            </w:r>
            <w:proofErr w:type="gramStart"/>
            <w:r w:rsidRPr="004E1F44">
              <w:rPr>
                <w:rFonts w:ascii="Tahoma" w:hAnsi="Tahoma" w:cs="Tahoma"/>
                <w:sz w:val="20"/>
                <w:szCs w:val="20"/>
              </w:rPr>
              <w:t>14 üncü</w:t>
            </w:r>
            <w:proofErr w:type="gramEnd"/>
            <w:r w:rsidRPr="004E1F44">
              <w:rPr>
                <w:rFonts w:ascii="Tahoma" w:hAnsi="Tahoma" w:cs="Tahoma"/>
                <w:sz w:val="20"/>
                <w:szCs w:val="20"/>
              </w:rPr>
              <w:t xml:space="preserve"> maddesinin birinci fıkrasında yer alan her bir kağıttan alınacak damga vergisine ilişkin üst sınır yeniden değerleme oranında artırılmış ve 1/1/2025 tarihinden itibaren 24.477.478,90 Türk Lirası olmuştur.</w:t>
            </w:r>
          </w:p>
          <w:p w14:paraId="4EC09F0A" w14:textId="77777777" w:rsidR="004E1F44" w:rsidRPr="004E1F44" w:rsidRDefault="004E1F44" w:rsidP="004E1F44">
            <w:pPr>
              <w:jc w:val="both"/>
              <w:rPr>
                <w:rFonts w:ascii="Tahoma" w:hAnsi="Tahoma" w:cs="Tahoma"/>
                <w:sz w:val="20"/>
                <w:szCs w:val="20"/>
              </w:rPr>
            </w:pPr>
            <w:r w:rsidRPr="004E1F44">
              <w:rPr>
                <w:rFonts w:ascii="Tahoma" w:hAnsi="Tahoma" w:cs="Tahoma"/>
                <w:b/>
                <w:bCs/>
                <w:sz w:val="20"/>
                <w:szCs w:val="20"/>
              </w:rPr>
              <w:t>Yürürlük</w:t>
            </w:r>
          </w:p>
          <w:p w14:paraId="4EA215A7" w14:textId="77777777" w:rsidR="004E1F44" w:rsidRPr="004E1F44" w:rsidRDefault="004E1F44" w:rsidP="004E1F44">
            <w:pPr>
              <w:jc w:val="both"/>
              <w:rPr>
                <w:rFonts w:ascii="Tahoma" w:hAnsi="Tahoma" w:cs="Tahoma"/>
                <w:sz w:val="20"/>
                <w:szCs w:val="20"/>
              </w:rPr>
            </w:pPr>
            <w:r w:rsidRPr="004E1F44">
              <w:rPr>
                <w:rFonts w:ascii="Tahoma" w:hAnsi="Tahoma" w:cs="Tahoma"/>
                <w:b/>
                <w:bCs/>
                <w:sz w:val="20"/>
                <w:szCs w:val="20"/>
              </w:rPr>
              <w:t>MADDE 4- </w:t>
            </w:r>
            <w:r w:rsidRPr="004E1F44">
              <w:rPr>
                <w:rFonts w:ascii="Tahoma" w:hAnsi="Tahoma" w:cs="Tahoma"/>
                <w:sz w:val="20"/>
                <w:szCs w:val="20"/>
              </w:rPr>
              <w:t>(1) Bu Tebliğ 1/1/2025 tarihinde yürürlüğe girer.</w:t>
            </w:r>
          </w:p>
          <w:p w14:paraId="3B259909" w14:textId="77777777" w:rsidR="004E1F44" w:rsidRPr="004E1F44" w:rsidRDefault="004E1F44" w:rsidP="004E1F44">
            <w:pPr>
              <w:jc w:val="both"/>
              <w:rPr>
                <w:rFonts w:ascii="Tahoma" w:hAnsi="Tahoma" w:cs="Tahoma"/>
                <w:sz w:val="20"/>
                <w:szCs w:val="20"/>
              </w:rPr>
            </w:pPr>
            <w:r w:rsidRPr="004E1F44">
              <w:rPr>
                <w:rFonts w:ascii="Tahoma" w:hAnsi="Tahoma" w:cs="Tahoma"/>
                <w:b/>
                <w:bCs/>
                <w:sz w:val="20"/>
                <w:szCs w:val="20"/>
              </w:rPr>
              <w:t>Yürütme</w:t>
            </w:r>
          </w:p>
          <w:p w14:paraId="2C6CC14B" w14:textId="77777777" w:rsidR="004E1F44" w:rsidRPr="004E1F44" w:rsidRDefault="004E1F44" w:rsidP="004E1F44">
            <w:pPr>
              <w:jc w:val="both"/>
              <w:rPr>
                <w:rFonts w:ascii="Tahoma" w:hAnsi="Tahoma" w:cs="Tahoma"/>
                <w:sz w:val="20"/>
                <w:szCs w:val="20"/>
              </w:rPr>
            </w:pPr>
            <w:r w:rsidRPr="004E1F44">
              <w:rPr>
                <w:rFonts w:ascii="Tahoma" w:hAnsi="Tahoma" w:cs="Tahoma"/>
                <w:b/>
                <w:bCs/>
                <w:sz w:val="20"/>
                <w:szCs w:val="20"/>
              </w:rPr>
              <w:t>MADDE 5- </w:t>
            </w:r>
            <w:r w:rsidRPr="004E1F44">
              <w:rPr>
                <w:rFonts w:ascii="Tahoma" w:hAnsi="Tahoma" w:cs="Tahoma"/>
                <w:sz w:val="20"/>
                <w:szCs w:val="20"/>
              </w:rPr>
              <w:t>(1) Bu Tebliğ hükümlerini Hazine ve Maliye Bakanı yürütür.</w:t>
            </w:r>
          </w:p>
          <w:p w14:paraId="6340179C" w14:textId="77777777" w:rsidR="004E1F44" w:rsidRPr="004E1F44" w:rsidRDefault="004E1F44" w:rsidP="004E1F44">
            <w:pPr>
              <w:jc w:val="both"/>
              <w:rPr>
                <w:rFonts w:ascii="Tahoma" w:hAnsi="Tahoma" w:cs="Tahoma"/>
                <w:sz w:val="20"/>
                <w:szCs w:val="20"/>
              </w:rPr>
            </w:pPr>
            <w:r w:rsidRPr="004E1F44">
              <w:rPr>
                <w:rFonts w:ascii="Tahoma" w:hAnsi="Tahoma" w:cs="Tahoma"/>
                <w:sz w:val="20"/>
                <w:szCs w:val="20"/>
              </w:rPr>
              <w:t> </w:t>
            </w:r>
          </w:p>
          <w:p w14:paraId="2CD6B2CF" w14:textId="77777777" w:rsidR="004E1F44" w:rsidRPr="004E1F44" w:rsidRDefault="004E1F44" w:rsidP="004E1F44">
            <w:pPr>
              <w:jc w:val="both"/>
              <w:rPr>
                <w:rFonts w:ascii="Tahoma" w:hAnsi="Tahoma" w:cs="Tahoma"/>
                <w:sz w:val="20"/>
                <w:szCs w:val="20"/>
              </w:rPr>
            </w:pPr>
            <w:hyperlink r:id="rId4" w:history="1">
              <w:r w:rsidRPr="004E1F44">
                <w:rPr>
                  <w:rStyle w:val="Kpr"/>
                  <w:rFonts w:ascii="Tahoma" w:hAnsi="Tahoma" w:cs="Tahoma"/>
                  <w:b/>
                  <w:bCs/>
                  <w:sz w:val="20"/>
                  <w:szCs w:val="20"/>
                </w:rPr>
                <w:t>Ekleri için tıklayınız</w:t>
              </w:r>
            </w:hyperlink>
          </w:p>
        </w:tc>
      </w:tr>
    </w:tbl>
    <w:p w14:paraId="198E2586" w14:textId="77777777" w:rsidR="00F40434" w:rsidRPr="004E1F44" w:rsidRDefault="00F40434" w:rsidP="004E1F44">
      <w:pPr>
        <w:jc w:val="both"/>
        <w:rPr>
          <w:rFonts w:ascii="Tahoma" w:hAnsi="Tahoma" w:cs="Tahoma"/>
          <w:sz w:val="20"/>
          <w:szCs w:val="20"/>
        </w:rPr>
      </w:pPr>
    </w:p>
    <w:sectPr w:rsidR="00F40434" w:rsidRPr="004E1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44"/>
    <w:rsid w:val="0012722A"/>
    <w:rsid w:val="003068E7"/>
    <w:rsid w:val="004E1F44"/>
    <w:rsid w:val="005F324D"/>
    <w:rsid w:val="0068156B"/>
    <w:rsid w:val="00D05408"/>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9BBF"/>
  <w15:chartTrackingRefBased/>
  <w15:docId w15:val="{A9E8A722-4C05-4594-A6CA-1C122EE9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E1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E1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E1F4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E1F4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E1F4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E1F4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E1F4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E1F4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E1F4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1F4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E1F4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E1F4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E1F4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E1F4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E1F4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E1F4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E1F4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E1F44"/>
    <w:rPr>
      <w:rFonts w:eastAsiaTheme="majorEastAsia" w:cstheme="majorBidi"/>
      <w:color w:val="272727" w:themeColor="text1" w:themeTint="D8"/>
    </w:rPr>
  </w:style>
  <w:style w:type="paragraph" w:styleId="KonuBal">
    <w:name w:val="Title"/>
    <w:basedOn w:val="Normal"/>
    <w:next w:val="Normal"/>
    <w:link w:val="KonuBalChar"/>
    <w:uiPriority w:val="10"/>
    <w:qFormat/>
    <w:rsid w:val="004E1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E1F4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1F4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E1F4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1F4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E1F44"/>
    <w:rPr>
      <w:i/>
      <w:iCs/>
      <w:color w:val="404040" w:themeColor="text1" w:themeTint="BF"/>
    </w:rPr>
  </w:style>
  <w:style w:type="paragraph" w:styleId="ListeParagraf">
    <w:name w:val="List Paragraph"/>
    <w:basedOn w:val="Normal"/>
    <w:uiPriority w:val="34"/>
    <w:qFormat/>
    <w:rsid w:val="004E1F44"/>
    <w:pPr>
      <w:ind w:left="720"/>
      <w:contextualSpacing/>
    </w:pPr>
  </w:style>
  <w:style w:type="character" w:styleId="GlVurgulama">
    <w:name w:val="Intense Emphasis"/>
    <w:basedOn w:val="VarsaylanParagrafYazTipi"/>
    <w:uiPriority w:val="21"/>
    <w:qFormat/>
    <w:rsid w:val="004E1F44"/>
    <w:rPr>
      <w:i/>
      <w:iCs/>
      <w:color w:val="0F4761" w:themeColor="accent1" w:themeShade="BF"/>
    </w:rPr>
  </w:style>
  <w:style w:type="paragraph" w:styleId="GlAlnt">
    <w:name w:val="Intense Quote"/>
    <w:basedOn w:val="Normal"/>
    <w:next w:val="Normal"/>
    <w:link w:val="GlAlntChar"/>
    <w:uiPriority w:val="30"/>
    <w:qFormat/>
    <w:rsid w:val="004E1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E1F44"/>
    <w:rPr>
      <w:i/>
      <w:iCs/>
      <w:color w:val="0F4761" w:themeColor="accent1" w:themeShade="BF"/>
    </w:rPr>
  </w:style>
  <w:style w:type="character" w:styleId="GlBavuru">
    <w:name w:val="Intense Reference"/>
    <w:basedOn w:val="VarsaylanParagrafYazTipi"/>
    <w:uiPriority w:val="32"/>
    <w:qFormat/>
    <w:rsid w:val="004E1F44"/>
    <w:rPr>
      <w:b/>
      <w:bCs/>
      <w:smallCaps/>
      <w:color w:val="0F4761" w:themeColor="accent1" w:themeShade="BF"/>
      <w:spacing w:val="5"/>
    </w:rPr>
  </w:style>
  <w:style w:type="character" w:styleId="Kpr">
    <w:name w:val="Hyperlink"/>
    <w:basedOn w:val="VarsaylanParagrafYazTipi"/>
    <w:uiPriority w:val="99"/>
    <w:unhideWhenUsed/>
    <w:rsid w:val="004E1F44"/>
    <w:rPr>
      <w:color w:val="467886" w:themeColor="hyperlink"/>
      <w:u w:val="single"/>
    </w:rPr>
  </w:style>
  <w:style w:type="character" w:styleId="zmlenmeyenBahsetme">
    <w:name w:val="Unresolved Mention"/>
    <w:basedOn w:val="VarsaylanParagrafYazTipi"/>
    <w:uiPriority w:val="99"/>
    <w:semiHidden/>
    <w:unhideWhenUsed/>
    <w:rsid w:val="004E1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057914">
      <w:bodyDiv w:val="1"/>
      <w:marLeft w:val="0"/>
      <w:marRight w:val="0"/>
      <w:marTop w:val="0"/>
      <w:marBottom w:val="0"/>
      <w:divBdr>
        <w:top w:val="none" w:sz="0" w:space="0" w:color="auto"/>
        <w:left w:val="none" w:sz="0" w:space="0" w:color="auto"/>
        <w:bottom w:val="none" w:sz="0" w:space="0" w:color="auto"/>
        <w:right w:val="none" w:sz="0" w:space="0" w:color="auto"/>
      </w:divBdr>
    </w:div>
    <w:div w:id="15903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12/20241230M2-8-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2025-01-02T06:34:00Z</dcterms:created>
  <dcterms:modified xsi:type="dcterms:W3CDTF">2025-01-02T06:34:00Z</dcterms:modified>
</cp:coreProperties>
</file>